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180" w:line="360" w:lineRule="auto"/>
        <w:ind w:left="720" w:hanging="360"/>
      </w:pPr>
      <w:r w:rsidDel="00000000" w:rsidR="00000000" w:rsidRPr="00000000">
        <w:rPr>
          <w:color w:val="0a0a0a"/>
          <w:sz w:val="24"/>
          <w:szCs w:val="24"/>
          <w:rtl w:val="0"/>
        </w:rPr>
        <w:t xml:space="preserve">Primary Typeface: The main font used for headlines and primary brand communication : “CACHET” in </w:t>
      </w:r>
      <w:r w:rsidDel="00000000" w:rsidR="00000000" w:rsidRPr="00000000">
        <w:rPr>
          <w:b w:val="1"/>
          <w:bCs w:val="1"/>
          <w:color w:val="0a0a0a"/>
          <w:sz w:val="24"/>
          <w:szCs w:val="24"/>
          <w:rtl w:val="0"/>
        </w:rPr>
        <w:t xml:space="preserve">Cocogoose Medium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420" w:before="0" w:beforeAutospacing="0" w:line="360" w:lineRule="auto"/>
        <w:ind w:left="720" w:hanging="360"/>
      </w:pPr>
      <w:r w:rsidDel="00000000" w:rsidR="00000000" w:rsidRPr="00000000">
        <w:rPr>
          <w:color w:val="0a0a0a"/>
          <w:sz w:val="24"/>
          <w:szCs w:val="24"/>
          <w:rtl w:val="0"/>
        </w:rPr>
        <w:t xml:space="preserve">Secondary Typeface: A complementary font for body copy, subheaders, or captions, ensuring readability : ex: Peintres Decorateurs is in </w:t>
      </w:r>
      <w:r w:rsidDel="00000000" w:rsidR="00000000" w:rsidRPr="00000000">
        <w:rPr>
          <w:b w:val="1"/>
          <w:bCs w:val="1"/>
          <w:color w:val="0a0a0a"/>
          <w:sz w:val="24"/>
          <w:szCs w:val="24"/>
          <w:rtl w:val="0"/>
        </w:rPr>
        <w:t xml:space="preserve">Geoform Bold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420" w:before="180" w:line="360" w:lineRule="auto"/>
        <w:ind w:left="720" w:right="100" w:firstLine="0"/>
        <w:rPr>
          <w:color w:val="0a0a0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114300" distT="114300" distL="114300" distR="114300">
            <wp:extent cx="5731200" cy="62611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6261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0a0a0a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